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rPr>
          <w:rFonts w:ascii="Times New Roman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88011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58000" cy="8801100"/>
                          <a:chExt cx="6858000" cy="88011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27088" y="2656039"/>
                            <a:ext cx="5931535" cy="1898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1535" h="1898014">
                                <a:moveTo>
                                  <a:pt x="0" y="0"/>
                                </a:moveTo>
                                <a:lnTo>
                                  <a:pt x="5931103" y="0"/>
                                </a:lnTo>
                              </a:path>
                              <a:path w="5931535" h="1898014">
                                <a:moveTo>
                                  <a:pt x="0" y="233718"/>
                                </a:moveTo>
                                <a:lnTo>
                                  <a:pt x="5931103" y="233718"/>
                                </a:lnTo>
                              </a:path>
                              <a:path w="5931535" h="1898014">
                                <a:moveTo>
                                  <a:pt x="0" y="1663967"/>
                                </a:moveTo>
                                <a:lnTo>
                                  <a:pt x="5931103" y="1663967"/>
                                </a:lnTo>
                              </a:path>
                              <a:path w="5931535" h="1898014">
                                <a:moveTo>
                                  <a:pt x="0" y="1897684"/>
                                </a:moveTo>
                                <a:lnTo>
                                  <a:pt x="5931103" y="1897684"/>
                                </a:lnTo>
                              </a:path>
                            </a:pathLst>
                          </a:custGeom>
                          <a:ln w="698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525" y="9525"/>
                            <a:ext cx="6838950" cy="878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8782050">
                                <a:moveTo>
                                  <a:pt x="6838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82050"/>
                                </a:lnTo>
                                <a:lnTo>
                                  <a:pt x="6838950" y="8782050"/>
                                </a:lnTo>
                                <a:lnTo>
                                  <a:pt x="6838950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pt;width:540pt;height:693pt;mso-position-horizontal-relative:page;mso-position-vertical-relative:page;z-index:-15782400" id="docshapegroup1" coordorigin="720,1080" coordsize="10800,13860">
                <v:shape style="position:absolute;left:1550;top:5262;width:9341;height:2989" id="docshape2" coordorigin="1550,5263" coordsize="9341,2989" path="m1550,5263l10890,5263m1550,5631l10890,5631m1550,7883l10890,7883m1550,8251l10890,8251e" filled="false" stroked="true" strokeweight=".550pt" strokecolor="#000000">
                  <v:path arrowok="t"/>
                  <v:stroke dashstyle="solid"/>
                </v:shape>
                <v:rect style="position:absolute;left:735;top:1095;width:10770;height:13830" id="docshape3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350" w:lineRule="exact" w:before="4"/>
        <w:ind w:left="101" w:right="988" w:firstLine="1260"/>
        <w:jc w:val="left"/>
        <w:rPr>
          <w:sz w:val="20"/>
        </w:rPr>
      </w:pPr>
      <w:r>
        <w:rPr>
          <w:spacing w:val="-4"/>
          <w:sz w:val="20"/>
        </w:rPr>
        <w:t>Disclosure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Information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Lead-Based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Paint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and/or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Lead-Based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Paint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Hazards </w:t>
      </w:r>
      <w:r>
        <w:rPr>
          <w:sz w:val="20"/>
        </w:rPr>
        <w:t>Lead Warning Statement</w:t>
      </w:r>
    </w:p>
    <w:p>
      <w:pPr>
        <w:spacing w:line="241" w:lineRule="exact" w:before="0"/>
        <w:ind w:left="102" w:right="0" w:firstLine="0"/>
        <w:jc w:val="both"/>
        <w:rPr>
          <w:rFonts w:ascii="Gill Sans MT"/>
          <w:i/>
          <w:sz w:val="22"/>
        </w:rPr>
      </w:pPr>
      <w:r>
        <w:rPr>
          <w:rFonts w:ascii="Gill Sans MT"/>
          <w:i/>
          <w:w w:val="115"/>
          <w:sz w:val="22"/>
        </w:rPr>
        <w:t>Housing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built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before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1978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may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contain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lead-based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paint.</w:t>
      </w:r>
      <w:r>
        <w:rPr>
          <w:rFonts w:ascii="Gill Sans MT"/>
          <w:i/>
          <w:spacing w:val="3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Lead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from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paint,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paint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chips,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and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dust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can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spacing w:val="-4"/>
          <w:w w:val="115"/>
          <w:sz w:val="22"/>
        </w:rPr>
        <w:t>pose</w:t>
      </w:r>
    </w:p>
    <w:p>
      <w:pPr>
        <w:spacing w:line="244" w:lineRule="auto" w:before="5"/>
        <w:ind w:left="102" w:right="117" w:firstLine="0"/>
        <w:jc w:val="both"/>
        <w:rPr>
          <w:rFonts w:ascii="Gill Sans MT"/>
          <w:i/>
          <w:sz w:val="22"/>
        </w:rPr>
      </w:pPr>
      <w:r>
        <w:rPr>
          <w:rFonts w:ascii="Gill Sans MT"/>
          <w:i/>
          <w:spacing w:val="-2"/>
          <w:w w:val="115"/>
          <w:sz w:val="22"/>
        </w:rPr>
        <w:t>health</w:t>
      </w:r>
      <w:r>
        <w:rPr>
          <w:rFonts w:ascii="Gill Sans MT"/>
          <w:i/>
          <w:spacing w:val="-16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hazards</w:t>
      </w:r>
      <w:r>
        <w:rPr>
          <w:rFonts w:ascii="Gill Sans MT"/>
          <w:i/>
          <w:spacing w:val="-16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if</w:t>
      </w:r>
      <w:r>
        <w:rPr>
          <w:rFonts w:ascii="Gill Sans MT"/>
          <w:i/>
          <w:spacing w:val="-15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not</w:t>
      </w:r>
      <w:r>
        <w:rPr>
          <w:rFonts w:ascii="Gill Sans MT"/>
          <w:i/>
          <w:spacing w:val="-16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managed</w:t>
      </w:r>
      <w:r>
        <w:rPr>
          <w:rFonts w:ascii="Gill Sans MT"/>
          <w:i/>
          <w:spacing w:val="-15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properly.</w:t>
      </w:r>
      <w:r>
        <w:rPr>
          <w:rFonts w:ascii="Gill Sans MT"/>
          <w:i/>
          <w:spacing w:val="-16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Lead</w:t>
      </w:r>
      <w:r>
        <w:rPr>
          <w:rFonts w:ascii="Gill Sans MT"/>
          <w:i/>
          <w:spacing w:val="-16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exposure</w:t>
      </w:r>
      <w:r>
        <w:rPr>
          <w:rFonts w:ascii="Gill Sans MT"/>
          <w:i/>
          <w:spacing w:val="-15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is</w:t>
      </w:r>
      <w:r>
        <w:rPr>
          <w:rFonts w:ascii="Gill Sans MT"/>
          <w:i/>
          <w:spacing w:val="-16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especially</w:t>
      </w:r>
      <w:r>
        <w:rPr>
          <w:rFonts w:ascii="Gill Sans MT"/>
          <w:i/>
          <w:spacing w:val="-15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harmful</w:t>
      </w:r>
      <w:r>
        <w:rPr>
          <w:rFonts w:ascii="Gill Sans MT"/>
          <w:i/>
          <w:spacing w:val="-16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to</w:t>
      </w:r>
      <w:r>
        <w:rPr>
          <w:rFonts w:ascii="Gill Sans MT"/>
          <w:i/>
          <w:spacing w:val="-15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young</w:t>
      </w:r>
      <w:r>
        <w:rPr>
          <w:rFonts w:ascii="Gill Sans MT"/>
          <w:i/>
          <w:spacing w:val="-16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children</w:t>
      </w:r>
      <w:r>
        <w:rPr>
          <w:rFonts w:ascii="Gill Sans MT"/>
          <w:i/>
          <w:spacing w:val="-16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and</w:t>
      </w:r>
      <w:r>
        <w:rPr>
          <w:rFonts w:ascii="Gill Sans MT"/>
          <w:i/>
          <w:spacing w:val="-15"/>
          <w:w w:val="115"/>
          <w:sz w:val="22"/>
        </w:rPr>
        <w:t> </w:t>
      </w:r>
      <w:r>
        <w:rPr>
          <w:rFonts w:ascii="Gill Sans MT"/>
          <w:i/>
          <w:spacing w:val="-2"/>
          <w:w w:val="115"/>
          <w:sz w:val="22"/>
        </w:rPr>
        <w:t>pregnant</w:t>
      </w:r>
      <w:r>
        <w:rPr>
          <w:rFonts w:ascii="Gill Sans MT"/>
          <w:i/>
          <w:spacing w:val="-2"/>
          <w:w w:val="115"/>
          <w:sz w:val="22"/>
        </w:rPr>
        <w:t> </w:t>
      </w:r>
      <w:r>
        <w:rPr>
          <w:rFonts w:ascii="Gill Sans MT"/>
          <w:i/>
          <w:w w:val="110"/>
          <w:sz w:val="22"/>
        </w:rPr>
        <w:t>women.</w:t>
      </w:r>
      <w:r>
        <w:rPr>
          <w:rFonts w:ascii="Gill Sans MT"/>
          <w:i/>
          <w:spacing w:val="-1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Before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renting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pre-1978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housing,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lessors</w:t>
      </w:r>
      <w:r>
        <w:rPr>
          <w:rFonts w:ascii="Gill Sans MT"/>
          <w:i/>
          <w:spacing w:val="-16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must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disclose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the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presence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of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known</w:t>
      </w:r>
      <w:r>
        <w:rPr>
          <w:rFonts w:ascii="Gill Sans MT"/>
          <w:i/>
          <w:spacing w:val="-16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lead-based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paint</w:t>
      </w:r>
      <w:r>
        <w:rPr>
          <w:rFonts w:ascii="Gill Sans MT"/>
          <w:i/>
          <w:spacing w:val="-17"/>
          <w:w w:val="110"/>
          <w:sz w:val="22"/>
        </w:rPr>
        <w:t> </w:t>
      </w:r>
      <w:r>
        <w:rPr>
          <w:rFonts w:ascii="Gill Sans MT"/>
          <w:i/>
          <w:w w:val="110"/>
          <w:sz w:val="22"/>
        </w:rPr>
        <w:t>and/or </w:t>
      </w:r>
      <w:r>
        <w:rPr>
          <w:rFonts w:ascii="Gill Sans MT"/>
          <w:i/>
          <w:w w:val="115"/>
          <w:sz w:val="22"/>
        </w:rPr>
        <w:t>lead-based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paint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hazards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in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the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dwelling.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Lessees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must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also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receive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a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federally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approved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pamphlet</w:t>
      </w:r>
      <w:r>
        <w:rPr>
          <w:rFonts w:ascii="Gill Sans MT"/>
          <w:i/>
          <w:spacing w:val="-17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on</w:t>
      </w:r>
      <w:r>
        <w:rPr>
          <w:rFonts w:ascii="Gill Sans MT"/>
          <w:i/>
          <w:spacing w:val="-18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lead poisoning</w:t>
      </w:r>
      <w:r>
        <w:rPr>
          <w:rFonts w:ascii="Gill Sans MT"/>
          <w:i/>
          <w:spacing w:val="-11"/>
          <w:w w:val="115"/>
          <w:sz w:val="22"/>
        </w:rPr>
        <w:t> </w:t>
      </w:r>
      <w:r>
        <w:rPr>
          <w:rFonts w:ascii="Gill Sans MT"/>
          <w:i/>
          <w:w w:val="115"/>
          <w:sz w:val="22"/>
        </w:rPr>
        <w:t>prevention.</w:t>
      </w:r>
    </w:p>
    <w:p>
      <w:pPr>
        <w:pStyle w:val="BodyText"/>
        <w:spacing w:before="4"/>
        <w:rPr>
          <w:rFonts w:ascii="Gill Sans MT"/>
          <w:i/>
          <w:sz w:val="33"/>
        </w:rPr>
      </w:pPr>
    </w:p>
    <w:p>
      <w:pPr>
        <w:pStyle w:val="BodyText"/>
        <w:ind w:left="102"/>
      </w:pPr>
      <w:r>
        <w:rPr>
          <w:spacing w:val="-2"/>
          <w:w w:val="90"/>
        </w:rPr>
        <w:t>Lessor’s</w:t>
      </w:r>
      <w:r>
        <w:rPr>
          <w:spacing w:val="-3"/>
          <w:w w:val="90"/>
        </w:rPr>
        <w:t> </w:t>
      </w:r>
      <w:r>
        <w:rPr>
          <w:spacing w:val="-2"/>
          <w:w w:val="95"/>
        </w:rPr>
        <w:t>Disclosure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73" w:after="0"/>
        <w:ind w:left="468" w:right="0" w:hanging="366"/>
        <w:jc w:val="left"/>
        <w:rPr>
          <w:sz w:val="22"/>
        </w:rPr>
      </w:pPr>
      <w:r>
        <w:rPr>
          <w:w w:val="90"/>
          <w:sz w:val="22"/>
        </w:rPr>
        <w:t>Presence</w:t>
      </w:r>
      <w:r>
        <w:rPr>
          <w:spacing w:val="-4"/>
          <w:sz w:val="22"/>
        </w:rPr>
        <w:t> </w:t>
      </w:r>
      <w:r>
        <w:rPr>
          <w:w w:val="90"/>
          <w:sz w:val="22"/>
        </w:rPr>
        <w:t>of</w:t>
      </w:r>
      <w:r>
        <w:rPr>
          <w:spacing w:val="-3"/>
          <w:sz w:val="22"/>
        </w:rPr>
        <w:t> </w:t>
      </w:r>
      <w:r>
        <w:rPr>
          <w:w w:val="90"/>
          <w:sz w:val="22"/>
        </w:rPr>
        <w:t>lead-based</w:t>
      </w:r>
      <w:r>
        <w:rPr>
          <w:spacing w:val="-3"/>
          <w:sz w:val="22"/>
        </w:rPr>
        <w:t> </w:t>
      </w:r>
      <w:r>
        <w:rPr>
          <w:w w:val="90"/>
          <w:sz w:val="22"/>
        </w:rPr>
        <w:t>paint</w:t>
      </w:r>
      <w:r>
        <w:rPr>
          <w:spacing w:val="-4"/>
          <w:sz w:val="22"/>
        </w:rPr>
        <w:t> </w:t>
      </w:r>
      <w:r>
        <w:rPr>
          <w:w w:val="90"/>
          <w:sz w:val="22"/>
        </w:rPr>
        <w:t>and/or</w:t>
      </w:r>
      <w:r>
        <w:rPr>
          <w:spacing w:val="-3"/>
          <w:sz w:val="22"/>
        </w:rPr>
        <w:t> </w:t>
      </w:r>
      <w:r>
        <w:rPr>
          <w:w w:val="90"/>
          <w:sz w:val="22"/>
        </w:rPr>
        <w:t>lead-based</w:t>
      </w:r>
      <w:r>
        <w:rPr>
          <w:spacing w:val="-3"/>
          <w:sz w:val="22"/>
        </w:rPr>
        <w:t> </w:t>
      </w:r>
      <w:r>
        <w:rPr>
          <w:w w:val="90"/>
          <w:sz w:val="22"/>
        </w:rPr>
        <w:t>paint</w:t>
      </w:r>
      <w:r>
        <w:rPr>
          <w:spacing w:val="-4"/>
          <w:sz w:val="22"/>
        </w:rPr>
        <w:t> </w:t>
      </w:r>
      <w:r>
        <w:rPr>
          <w:w w:val="90"/>
          <w:sz w:val="22"/>
        </w:rPr>
        <w:t>hazards</w:t>
      </w:r>
      <w:r>
        <w:rPr>
          <w:spacing w:val="-3"/>
          <w:sz w:val="22"/>
        </w:rPr>
        <w:t> </w:t>
      </w:r>
      <w:r>
        <w:rPr>
          <w:w w:val="90"/>
          <w:sz w:val="22"/>
        </w:rPr>
        <w:t>(check</w:t>
      </w:r>
      <w:r>
        <w:rPr>
          <w:spacing w:val="-3"/>
          <w:sz w:val="22"/>
        </w:rPr>
        <w:t> </w:t>
      </w:r>
      <w:r>
        <w:rPr>
          <w:w w:val="90"/>
          <w:sz w:val="22"/>
        </w:rPr>
        <w:t>(i)</w:t>
      </w:r>
      <w:r>
        <w:rPr>
          <w:spacing w:val="-4"/>
          <w:sz w:val="22"/>
        </w:rPr>
        <w:t> </w:t>
      </w:r>
      <w:r>
        <w:rPr>
          <w:w w:val="90"/>
          <w:sz w:val="22"/>
        </w:rPr>
        <w:t>or</w:t>
      </w:r>
      <w:r>
        <w:rPr>
          <w:spacing w:val="-3"/>
          <w:sz w:val="22"/>
        </w:rPr>
        <w:t> </w:t>
      </w:r>
      <w:r>
        <w:rPr>
          <w:w w:val="90"/>
          <w:sz w:val="22"/>
        </w:rPr>
        <w:t>(ii)</w:t>
      </w:r>
      <w:r>
        <w:rPr>
          <w:spacing w:val="-3"/>
          <w:sz w:val="22"/>
        </w:rPr>
        <w:t> </w:t>
      </w:r>
      <w:r>
        <w:rPr>
          <w:spacing w:val="-2"/>
          <w:w w:val="90"/>
          <w:sz w:val="22"/>
        </w:rPr>
        <w:t>below):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  <w:tab w:pos="1339" w:val="left" w:leader="none"/>
          <w:tab w:pos="1398" w:val="left" w:leader="none"/>
        </w:tabs>
        <w:spacing w:line="240" w:lineRule="auto" w:before="109" w:after="0"/>
        <w:ind w:left="1398" w:right="393" w:hanging="928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pacing w:val="-10"/>
          <w:sz w:val="22"/>
        </w:rPr>
        <w:t> Known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lead-based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paint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and/or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lead-based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paint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hazards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are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present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in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housing </w:t>
      </w:r>
      <w:r>
        <w:rPr>
          <w:spacing w:val="-2"/>
          <w:sz w:val="22"/>
        </w:rPr>
        <w:t>(explain).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45" w:val="left" w:leader="none"/>
          <w:tab w:pos="1284" w:val="left" w:leader="none"/>
          <w:tab w:pos="1398" w:val="left" w:leader="none"/>
        </w:tabs>
        <w:spacing w:line="240" w:lineRule="auto" w:before="87" w:after="0"/>
        <w:ind w:left="1398" w:right="343" w:hanging="928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pacing w:val="3"/>
          <w:sz w:val="22"/>
        </w:rPr>
        <w:t> </w:t>
      </w:r>
      <w:r>
        <w:rPr>
          <w:spacing w:val="-8"/>
          <w:sz w:val="22"/>
        </w:rPr>
        <w:t>Lessor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has</w:t>
      </w:r>
      <w:r>
        <w:rPr>
          <w:spacing w:val="-10"/>
          <w:sz w:val="22"/>
        </w:rPr>
        <w:t> </w:t>
      </w:r>
      <w:r>
        <w:rPr>
          <w:spacing w:val="-8"/>
          <w:sz w:val="22"/>
        </w:rPr>
        <w:t>no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knowledge</w:t>
      </w:r>
      <w:r>
        <w:rPr>
          <w:spacing w:val="-10"/>
          <w:sz w:val="22"/>
        </w:rPr>
        <w:t> </w:t>
      </w:r>
      <w:r>
        <w:rPr>
          <w:spacing w:val="-8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lead-based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paint</w:t>
      </w:r>
      <w:r>
        <w:rPr>
          <w:spacing w:val="-10"/>
          <w:sz w:val="22"/>
        </w:rPr>
        <w:t> </w:t>
      </w:r>
      <w:r>
        <w:rPr>
          <w:spacing w:val="-8"/>
          <w:sz w:val="22"/>
        </w:rPr>
        <w:t>and/or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lead-based</w:t>
      </w:r>
      <w:r>
        <w:rPr>
          <w:spacing w:val="-10"/>
          <w:sz w:val="22"/>
        </w:rPr>
        <w:t> </w:t>
      </w:r>
      <w:r>
        <w:rPr>
          <w:spacing w:val="-8"/>
          <w:sz w:val="22"/>
        </w:rPr>
        <w:t>paint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hazards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8"/>
          <w:sz w:val="22"/>
        </w:rPr>
        <w:t>the </w:t>
      </w:r>
      <w:r>
        <w:rPr>
          <w:spacing w:val="-2"/>
          <w:sz w:val="22"/>
        </w:rPr>
        <w:t>housing.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10" w:after="0"/>
        <w:ind w:left="467" w:right="0" w:hanging="366"/>
        <w:jc w:val="left"/>
        <w:rPr>
          <w:sz w:val="22"/>
        </w:rPr>
      </w:pPr>
      <w:r>
        <w:rPr>
          <w:w w:val="90"/>
          <w:sz w:val="22"/>
        </w:rPr>
        <w:t>Records</w:t>
      </w:r>
      <w:r>
        <w:rPr>
          <w:spacing w:val="-6"/>
          <w:sz w:val="22"/>
        </w:rPr>
        <w:t> </w:t>
      </w:r>
      <w:r>
        <w:rPr>
          <w:w w:val="90"/>
          <w:sz w:val="22"/>
        </w:rPr>
        <w:t>and</w:t>
      </w:r>
      <w:r>
        <w:rPr>
          <w:spacing w:val="-7"/>
          <w:sz w:val="22"/>
        </w:rPr>
        <w:t> </w:t>
      </w:r>
      <w:r>
        <w:rPr>
          <w:w w:val="90"/>
          <w:sz w:val="22"/>
        </w:rPr>
        <w:t>reports</w:t>
      </w:r>
      <w:r>
        <w:rPr>
          <w:spacing w:val="-6"/>
          <w:sz w:val="22"/>
        </w:rPr>
        <w:t> </w:t>
      </w:r>
      <w:r>
        <w:rPr>
          <w:w w:val="90"/>
          <w:sz w:val="22"/>
        </w:rPr>
        <w:t>available</w:t>
      </w:r>
      <w:r>
        <w:rPr>
          <w:spacing w:val="-6"/>
          <w:sz w:val="22"/>
        </w:rPr>
        <w:t> </w:t>
      </w:r>
      <w:r>
        <w:rPr>
          <w:w w:val="90"/>
          <w:sz w:val="22"/>
        </w:rPr>
        <w:t>to</w:t>
      </w:r>
      <w:r>
        <w:rPr>
          <w:spacing w:val="-6"/>
          <w:sz w:val="22"/>
        </w:rPr>
        <w:t> </w:t>
      </w:r>
      <w:r>
        <w:rPr>
          <w:w w:val="90"/>
          <w:sz w:val="22"/>
        </w:rPr>
        <w:t>the</w:t>
      </w:r>
      <w:r>
        <w:rPr>
          <w:spacing w:val="-6"/>
          <w:sz w:val="22"/>
        </w:rPr>
        <w:t> </w:t>
      </w:r>
      <w:r>
        <w:rPr>
          <w:w w:val="90"/>
          <w:sz w:val="22"/>
        </w:rPr>
        <w:t>lessor</w:t>
      </w:r>
      <w:r>
        <w:rPr>
          <w:spacing w:val="61"/>
          <w:sz w:val="22"/>
        </w:rPr>
        <w:t> </w:t>
      </w:r>
      <w:r>
        <w:rPr>
          <w:w w:val="90"/>
          <w:sz w:val="22"/>
        </w:rPr>
        <w:t>(check</w:t>
      </w:r>
      <w:r>
        <w:rPr>
          <w:spacing w:val="-6"/>
          <w:sz w:val="22"/>
        </w:rPr>
        <w:t> </w:t>
      </w:r>
      <w:r>
        <w:rPr>
          <w:w w:val="90"/>
          <w:sz w:val="22"/>
        </w:rPr>
        <w:t>(i)</w:t>
      </w:r>
      <w:r>
        <w:rPr>
          <w:spacing w:val="-6"/>
          <w:sz w:val="22"/>
        </w:rPr>
        <w:t> </w:t>
      </w:r>
      <w:r>
        <w:rPr>
          <w:w w:val="90"/>
          <w:sz w:val="22"/>
        </w:rPr>
        <w:t>or</w:t>
      </w:r>
      <w:r>
        <w:rPr>
          <w:spacing w:val="-6"/>
          <w:sz w:val="22"/>
        </w:rPr>
        <w:t> </w:t>
      </w:r>
      <w:r>
        <w:rPr>
          <w:w w:val="90"/>
          <w:sz w:val="22"/>
        </w:rPr>
        <w:t>(ii)</w:t>
      </w:r>
      <w:r>
        <w:rPr>
          <w:spacing w:val="-6"/>
          <w:sz w:val="22"/>
        </w:rPr>
        <w:t> </w:t>
      </w:r>
      <w:r>
        <w:rPr>
          <w:spacing w:val="-2"/>
          <w:w w:val="90"/>
          <w:sz w:val="22"/>
        </w:rPr>
        <w:t>below):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  <w:tab w:pos="1339" w:val="left" w:leader="none"/>
          <w:tab w:pos="1398" w:val="left" w:leader="none"/>
        </w:tabs>
        <w:spacing w:line="240" w:lineRule="auto" w:before="109" w:after="0"/>
        <w:ind w:left="1398" w:right="665" w:hanging="928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pacing w:val="-11"/>
          <w:sz w:val="22"/>
        </w:rPr>
        <w:t> </w:t>
      </w:r>
      <w:r>
        <w:rPr>
          <w:spacing w:val="-10"/>
          <w:sz w:val="22"/>
        </w:rPr>
        <w:t>Lessor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has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provided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lessee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with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all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available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records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reports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pertaining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to </w:t>
      </w:r>
      <w:r>
        <w:rPr>
          <w:spacing w:val="-8"/>
          <w:sz w:val="22"/>
        </w:rPr>
        <w:t>lead-based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paint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and/or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lead-based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paint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hazards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housing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(list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documents </w:t>
      </w:r>
      <w:r>
        <w:rPr>
          <w:spacing w:val="-2"/>
          <w:sz w:val="22"/>
        </w:rPr>
        <w:t>below).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45" w:val="left" w:leader="none"/>
          <w:tab w:pos="1284" w:val="left" w:leader="none"/>
          <w:tab w:pos="1398" w:val="left" w:leader="none"/>
        </w:tabs>
        <w:spacing w:line="240" w:lineRule="auto" w:before="87" w:after="0"/>
        <w:ind w:left="1398" w:right="647" w:hanging="928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pacing w:val="40"/>
          <w:sz w:val="22"/>
        </w:rPr>
        <w:t> </w:t>
      </w:r>
      <w:r>
        <w:rPr>
          <w:spacing w:val="-10"/>
          <w:sz w:val="22"/>
        </w:rPr>
        <w:t>Lessor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has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no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reports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records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pertaining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to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lead-based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paint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and/or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lead-based </w:t>
      </w:r>
      <w:r>
        <w:rPr>
          <w:spacing w:val="-2"/>
          <w:sz w:val="22"/>
        </w:rPr>
        <w:t>paint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hazards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housing.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01"/>
      </w:pPr>
      <w:r>
        <w:rPr>
          <w:spacing w:val="-8"/>
        </w:rPr>
        <w:t>Lessee’s</w:t>
      </w:r>
      <w:r>
        <w:rPr>
          <w:spacing w:val="-11"/>
        </w:rPr>
        <w:t> </w:t>
      </w:r>
      <w:r>
        <w:rPr>
          <w:spacing w:val="-8"/>
        </w:rPr>
        <w:t>Acknowledgment</w:t>
      </w:r>
      <w:r>
        <w:rPr>
          <w:spacing w:val="6"/>
        </w:rPr>
        <w:t> </w:t>
      </w:r>
      <w:r>
        <w:rPr>
          <w:spacing w:val="-8"/>
        </w:rPr>
        <w:t>(initial)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1328" w:val="left" w:leader="none"/>
        </w:tabs>
        <w:spacing w:line="240" w:lineRule="auto" w:before="73" w:after="0"/>
        <w:ind w:left="467" w:right="0" w:hanging="366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pacing w:val="5"/>
          <w:sz w:val="22"/>
        </w:rPr>
        <w:t> </w:t>
      </w:r>
      <w:r>
        <w:rPr>
          <w:w w:val="90"/>
          <w:sz w:val="22"/>
        </w:rPr>
        <w:t>Lessee</w:t>
      </w:r>
      <w:r>
        <w:rPr>
          <w:sz w:val="22"/>
        </w:rPr>
        <w:t> </w:t>
      </w:r>
      <w:r>
        <w:rPr>
          <w:w w:val="90"/>
          <w:sz w:val="22"/>
        </w:rPr>
        <w:t>has</w:t>
      </w:r>
      <w:r>
        <w:rPr>
          <w:sz w:val="22"/>
        </w:rPr>
        <w:t> </w:t>
      </w:r>
      <w:r>
        <w:rPr>
          <w:w w:val="90"/>
          <w:sz w:val="22"/>
        </w:rPr>
        <w:t>received</w:t>
      </w:r>
      <w:r>
        <w:rPr>
          <w:sz w:val="22"/>
        </w:rPr>
        <w:t> </w:t>
      </w:r>
      <w:r>
        <w:rPr>
          <w:w w:val="90"/>
          <w:sz w:val="22"/>
        </w:rPr>
        <w:t>copies</w:t>
      </w:r>
      <w:r>
        <w:rPr>
          <w:sz w:val="22"/>
        </w:rPr>
        <w:t> </w:t>
      </w:r>
      <w:r>
        <w:rPr>
          <w:w w:val="90"/>
          <w:sz w:val="22"/>
        </w:rPr>
        <w:t>of</w:t>
      </w:r>
      <w:r>
        <w:rPr>
          <w:sz w:val="22"/>
        </w:rPr>
        <w:t> </w:t>
      </w:r>
      <w:r>
        <w:rPr>
          <w:w w:val="90"/>
          <w:sz w:val="22"/>
        </w:rPr>
        <w:t>all</w:t>
      </w:r>
      <w:r>
        <w:rPr>
          <w:sz w:val="22"/>
        </w:rPr>
        <w:t> </w:t>
      </w:r>
      <w:r>
        <w:rPr>
          <w:w w:val="90"/>
          <w:sz w:val="22"/>
        </w:rPr>
        <w:t>information</w:t>
      </w:r>
      <w:r>
        <w:rPr>
          <w:sz w:val="22"/>
        </w:rPr>
        <w:t> </w:t>
      </w:r>
      <w:r>
        <w:rPr>
          <w:w w:val="90"/>
          <w:sz w:val="22"/>
        </w:rPr>
        <w:t>listed</w:t>
      </w:r>
      <w:r>
        <w:rPr>
          <w:sz w:val="22"/>
        </w:rPr>
        <w:t> </w:t>
      </w:r>
      <w:r>
        <w:rPr>
          <w:w w:val="90"/>
          <w:sz w:val="22"/>
        </w:rPr>
        <w:t>above.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1328" w:val="left" w:leader="none"/>
        </w:tabs>
        <w:spacing w:line="240" w:lineRule="auto" w:before="109" w:after="0"/>
        <w:ind w:left="467" w:right="0" w:hanging="366"/>
        <w:jc w:val="left"/>
        <w:rPr>
          <w:rFonts w:ascii="Gill Sans MT"/>
          <w:i/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 Lessee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pamphlet</w:t>
      </w:r>
      <w:r>
        <w:rPr>
          <w:spacing w:val="-2"/>
          <w:sz w:val="22"/>
        </w:rPr>
        <w:t> </w:t>
      </w:r>
      <w:r>
        <w:rPr>
          <w:rFonts w:ascii="Gill Sans MT"/>
          <w:i/>
          <w:sz w:val="22"/>
        </w:rPr>
        <w:t>Protect</w:t>
      </w:r>
      <w:r>
        <w:rPr>
          <w:rFonts w:ascii="Gill Sans MT"/>
          <w:i/>
          <w:spacing w:val="-9"/>
          <w:sz w:val="22"/>
        </w:rPr>
        <w:t> </w:t>
      </w:r>
      <w:r>
        <w:rPr>
          <w:rFonts w:ascii="Gill Sans MT"/>
          <w:i/>
          <w:sz w:val="22"/>
        </w:rPr>
        <w:t>Your</w:t>
      </w:r>
      <w:r>
        <w:rPr>
          <w:rFonts w:ascii="Gill Sans MT"/>
          <w:i/>
          <w:spacing w:val="-9"/>
          <w:sz w:val="22"/>
        </w:rPr>
        <w:t> </w:t>
      </w:r>
      <w:r>
        <w:rPr>
          <w:rFonts w:ascii="Gill Sans MT"/>
          <w:i/>
          <w:sz w:val="22"/>
        </w:rPr>
        <w:t>Family</w:t>
      </w:r>
      <w:r>
        <w:rPr>
          <w:rFonts w:ascii="Gill Sans MT"/>
          <w:i/>
          <w:spacing w:val="-9"/>
          <w:sz w:val="22"/>
        </w:rPr>
        <w:t> </w:t>
      </w:r>
      <w:r>
        <w:rPr>
          <w:rFonts w:ascii="Gill Sans MT"/>
          <w:i/>
          <w:sz w:val="22"/>
        </w:rPr>
        <w:t>from</w:t>
      </w:r>
      <w:r>
        <w:rPr>
          <w:rFonts w:ascii="Gill Sans MT"/>
          <w:i/>
          <w:spacing w:val="-9"/>
          <w:sz w:val="22"/>
        </w:rPr>
        <w:t> </w:t>
      </w:r>
      <w:r>
        <w:rPr>
          <w:rFonts w:ascii="Gill Sans MT"/>
          <w:i/>
          <w:sz w:val="22"/>
        </w:rPr>
        <w:t>Lead</w:t>
      </w:r>
      <w:r>
        <w:rPr>
          <w:rFonts w:ascii="Gill Sans MT"/>
          <w:i/>
          <w:spacing w:val="-9"/>
          <w:sz w:val="22"/>
        </w:rPr>
        <w:t> </w:t>
      </w:r>
      <w:r>
        <w:rPr>
          <w:rFonts w:ascii="Gill Sans MT"/>
          <w:i/>
          <w:sz w:val="22"/>
        </w:rPr>
        <w:t>in</w:t>
      </w:r>
      <w:r>
        <w:rPr>
          <w:rFonts w:ascii="Gill Sans MT"/>
          <w:i/>
          <w:spacing w:val="-9"/>
          <w:sz w:val="22"/>
        </w:rPr>
        <w:t> </w:t>
      </w:r>
      <w:r>
        <w:rPr>
          <w:rFonts w:ascii="Gill Sans MT"/>
          <w:i/>
          <w:sz w:val="22"/>
        </w:rPr>
        <w:t>Your</w:t>
      </w:r>
      <w:r>
        <w:rPr>
          <w:rFonts w:ascii="Gill Sans MT"/>
          <w:i/>
          <w:spacing w:val="-9"/>
          <w:sz w:val="22"/>
        </w:rPr>
        <w:t> </w:t>
      </w:r>
      <w:r>
        <w:rPr>
          <w:rFonts w:ascii="Gill Sans MT"/>
          <w:i/>
          <w:sz w:val="22"/>
        </w:rPr>
        <w:t>Home.</w:t>
      </w:r>
    </w:p>
    <w:p>
      <w:pPr>
        <w:pStyle w:val="BodyText"/>
        <w:spacing w:before="10"/>
        <w:rPr>
          <w:rFonts w:ascii="Gill Sans MT"/>
          <w:i/>
          <w:sz w:val="33"/>
        </w:rPr>
      </w:pPr>
    </w:p>
    <w:p>
      <w:pPr>
        <w:pStyle w:val="BodyText"/>
        <w:ind w:left="101"/>
      </w:pPr>
      <w:r>
        <w:rPr>
          <w:spacing w:val="-8"/>
        </w:rPr>
        <w:t>Agent’s</w:t>
      </w:r>
      <w:r>
        <w:rPr>
          <w:spacing w:val="-5"/>
        </w:rPr>
        <w:t> </w:t>
      </w:r>
      <w:r>
        <w:rPr>
          <w:spacing w:val="-8"/>
        </w:rPr>
        <w:t>Acknowledgment</w:t>
      </w:r>
      <w:r>
        <w:rPr>
          <w:spacing w:val="-7"/>
        </w:rPr>
        <w:t> </w:t>
      </w:r>
      <w:r>
        <w:rPr>
          <w:spacing w:val="-8"/>
        </w:rPr>
        <w:t>(initial)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1328" w:val="left" w:leader="none"/>
          <w:tab w:pos="1398" w:val="left" w:leader="none"/>
        </w:tabs>
        <w:spacing w:line="240" w:lineRule="auto" w:before="73" w:after="0"/>
        <w:ind w:left="1398" w:right="442" w:hanging="1297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pacing w:val="-18"/>
          <w:sz w:val="22"/>
        </w:rPr>
        <w:t> </w:t>
      </w:r>
      <w:r>
        <w:rPr>
          <w:spacing w:val="-10"/>
          <w:sz w:val="22"/>
        </w:rPr>
        <w:t>Agent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has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informed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lessor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lessor’s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obligations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under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42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U.S.C.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4852d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and </w:t>
      </w:r>
      <w:r>
        <w:rPr>
          <w:spacing w:val="-6"/>
          <w:sz w:val="22"/>
        </w:rPr>
        <w:t>is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aware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his/her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responsibility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ensure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compliance.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01"/>
      </w:pPr>
      <w:r>
        <w:rPr>
          <w:spacing w:val="-8"/>
        </w:rPr>
        <w:t>Certification</w:t>
      </w:r>
      <w:r>
        <w:rPr>
          <w:spacing w:val="-11"/>
        </w:rPr>
        <w:t> </w:t>
      </w:r>
      <w:r>
        <w:rPr>
          <w:spacing w:val="-8"/>
        </w:rPr>
        <w:t>of</w:t>
      </w:r>
      <w:r>
        <w:rPr>
          <w:spacing w:val="-10"/>
        </w:rPr>
        <w:t> </w:t>
      </w:r>
      <w:r>
        <w:rPr>
          <w:spacing w:val="-8"/>
        </w:rPr>
        <w:t>Accuracy</w:t>
      </w:r>
    </w:p>
    <w:p>
      <w:pPr>
        <w:spacing w:line="249" w:lineRule="auto" w:before="76"/>
        <w:ind w:left="102" w:right="169" w:firstLine="0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following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parties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have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reviewed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information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above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certify,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best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their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knowledge,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that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information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they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provided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true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accurate.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2825"/>
        <w:gridCol w:w="88"/>
        <w:gridCol w:w="2271"/>
        <w:gridCol w:w="2609"/>
      </w:tblGrid>
      <w:tr>
        <w:trPr>
          <w:trHeight w:val="488" w:hRule="atLeast"/>
        </w:trPr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Lessor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Lessor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4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>
        <w:trPr>
          <w:trHeight w:val="490" w:hRule="atLeast"/>
        </w:trPr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Lessee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3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Lessee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>
        <w:trPr>
          <w:trHeight w:val="226" w:hRule="atLeast"/>
        </w:trPr>
        <w:tc>
          <w:tcPr>
            <w:tcW w:w="20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2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/>
              <w:ind w:right="93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26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/>
              <w:ind w:right="4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</w:tbl>
    <w:sectPr>
      <w:type w:val="continuous"/>
      <w:pgSz w:w="12240" w:h="15840"/>
      <w:pgMar w:top="1080" w:bottom="280" w:left="10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70" w:hanging="369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3"/>
        <w:w w:val="88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98" w:hanging="226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-3"/>
        <w:w w:val="7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6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3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0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6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3"/>
      <w:ind w:left="1398" w:hanging="928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</w:pPr>
    <w:rPr>
      <w:rFonts w:ascii="Lucida Sans" w:hAnsi="Lucida Sans" w:eastAsia="Lucida Sans" w:cs="Lucida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EPA, OPPTS, Office of Pollution Prevention and Toxics</dc:creator>
  <cp:keywords>EPA, lead, lead-based paint, lead paint, dust, soil, paint, lead poisoning, lead-based paint, hazard, residential, real estate disclosure form, disclosure of lead hazard information</cp:keywords>
  <dc:subject>This is a form for realtors to use in rental transactions when lessors are disclosing information on lead-based paint and/or lead-based paint hazards.</dc:subject>
  <dc:title>Disclosure of Information on Lead-Based Paint and/or Lead-Based Paint Hazards</dc:title>
  <dcterms:created xsi:type="dcterms:W3CDTF">2023-08-09T15:18:26Z</dcterms:created>
  <dcterms:modified xsi:type="dcterms:W3CDTF">2023-08-09T15:18:26Z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Encrypted">
    <vt:lpwstr/>
  </property>
  <property fmtid="{D5CDD505-2E9C-101B-9397-08002B2CF9AE}" pid="4" name="File Name">
    <vt:lpwstr>opptintr/lead/pubs/lesr_eng.pdf</vt:lpwstr>
  </property>
  <property fmtid="{D5CDD505-2E9C-101B-9397-08002B2CF9AE}" pid="5" name="LastSaved">
    <vt:filetime>2023-08-09T00:00:00Z</vt:filetime>
  </property>
  <property fmtid="{D5CDD505-2E9C-101B-9397-08002B2CF9AE}" pid="6" name="Producer">
    <vt:lpwstr>Acrobat Distiller 2.1 for Power Macintosh; modified using iText® 5.1.0 ©2000-2011 1T3XT BVBA</vt:lpwstr>
  </property>
</Properties>
</file>